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B2" w:rsidRPr="00124389" w:rsidRDefault="002825B2" w:rsidP="00124389">
      <w:pPr>
        <w:pStyle w:val="a3"/>
        <w:spacing w:after="120" w:line="360" w:lineRule="auto"/>
        <w:ind w:firstLine="709"/>
        <w:rPr>
          <w:sz w:val="24"/>
        </w:rPr>
      </w:pPr>
      <w:r w:rsidRPr="00124389">
        <w:rPr>
          <w:rFonts w:hint="eastAsia"/>
          <w:sz w:val="24"/>
        </w:rPr>
        <w:t>В</w:t>
      </w:r>
      <w:r w:rsidRPr="00124389">
        <w:rPr>
          <w:sz w:val="24"/>
        </w:rPr>
        <w:t xml:space="preserve"> </w:t>
      </w:r>
      <w:r w:rsidRPr="00124389">
        <w:rPr>
          <w:rFonts w:hint="eastAsia"/>
          <w:sz w:val="24"/>
        </w:rPr>
        <w:t>последнее</w:t>
      </w:r>
      <w:r w:rsidRPr="00124389">
        <w:rPr>
          <w:sz w:val="24"/>
        </w:rPr>
        <w:t xml:space="preserve"> </w:t>
      </w:r>
      <w:r w:rsidRPr="00124389">
        <w:rPr>
          <w:rFonts w:hint="eastAsia"/>
          <w:sz w:val="24"/>
        </w:rPr>
        <w:t>время</w:t>
      </w:r>
      <w:r w:rsidRPr="00124389">
        <w:rPr>
          <w:sz w:val="24"/>
        </w:rPr>
        <w:t xml:space="preserve"> особое значение приобретает </w:t>
      </w:r>
      <w:r w:rsidRPr="00124389">
        <w:rPr>
          <w:rFonts w:hint="eastAsia"/>
          <w:sz w:val="24"/>
        </w:rPr>
        <w:t>разраб</w:t>
      </w:r>
      <w:r w:rsidRPr="00124389">
        <w:rPr>
          <w:sz w:val="24"/>
        </w:rPr>
        <w:t>о</w:t>
      </w:r>
      <w:r w:rsidRPr="00124389">
        <w:rPr>
          <w:rFonts w:hint="eastAsia"/>
          <w:sz w:val="24"/>
        </w:rPr>
        <w:t>т</w:t>
      </w:r>
      <w:r w:rsidRPr="00124389">
        <w:rPr>
          <w:sz w:val="24"/>
        </w:rPr>
        <w:t xml:space="preserve">ка </w:t>
      </w:r>
      <w:r w:rsidRPr="00124389">
        <w:rPr>
          <w:rFonts w:hint="eastAsia"/>
          <w:sz w:val="24"/>
        </w:rPr>
        <w:t>гиперзвуковы</w:t>
      </w:r>
      <w:r w:rsidRPr="00124389">
        <w:rPr>
          <w:sz w:val="24"/>
        </w:rPr>
        <w:t xml:space="preserve">х </w:t>
      </w:r>
      <w:r w:rsidRPr="00124389">
        <w:rPr>
          <w:rFonts w:hint="eastAsia"/>
          <w:sz w:val="24"/>
        </w:rPr>
        <w:t>летательны</w:t>
      </w:r>
      <w:r w:rsidRPr="00124389">
        <w:rPr>
          <w:sz w:val="24"/>
        </w:rPr>
        <w:t xml:space="preserve">х </w:t>
      </w:r>
      <w:r w:rsidRPr="00124389">
        <w:rPr>
          <w:rFonts w:hint="eastAsia"/>
          <w:sz w:val="24"/>
        </w:rPr>
        <w:t>аппарат</w:t>
      </w:r>
      <w:r w:rsidRPr="00124389">
        <w:rPr>
          <w:sz w:val="24"/>
        </w:rPr>
        <w:t xml:space="preserve">ов. Использование программных комплексов для расчета характеристик ГЛА, может повысить эффективность и сократить время необходимое для разработки перспективных ГЛА. Однако, в связи с тем что в ударном слое около гиперзвукового ЛА протекает множество неравновесных физико-химических процессов и кроме того необходимо учитывать унос массы с поверхности ЛА, моделирование течения </w:t>
      </w:r>
      <w:proofErr w:type="spellStart"/>
      <w:r w:rsidRPr="00124389">
        <w:rPr>
          <w:sz w:val="24"/>
        </w:rPr>
        <w:t>термо</w:t>
      </w:r>
      <w:proofErr w:type="spellEnd"/>
      <w:r w:rsidRPr="00124389">
        <w:rPr>
          <w:sz w:val="24"/>
        </w:rPr>
        <w:t>-химически неравновесной многокомпонентной смеси газов требует значительных вычислительных ресурсов. Данная работа предполагает создание прикладного программного комплекса (ППК) и проведение обеспечивающих экспериментальных исследований для комплексного моделирования условий движения спускаемых гиперзвуковых летательных аппаратов в атмосфере, учитывающих изменение формы поверхности ГЛА вследствие разрушения теплозащитного покрытия.</w:t>
      </w:r>
    </w:p>
    <w:p w:rsidR="00E66931" w:rsidRDefault="00124389" w:rsidP="00E66931">
      <w:pPr>
        <w:pStyle w:val="a3"/>
        <w:spacing w:after="120" w:line="360" w:lineRule="auto"/>
        <w:ind w:firstLine="709"/>
        <w:rPr>
          <w:rFonts w:eastAsiaTheme="minorEastAsia"/>
          <w:sz w:val="24"/>
          <w:szCs w:val="24"/>
        </w:rPr>
      </w:pPr>
      <w:r w:rsidRPr="0067783A">
        <w:rPr>
          <w:sz w:val="24"/>
        </w:rPr>
        <w:t xml:space="preserve">На </w:t>
      </w:r>
      <w:r w:rsidR="00E66931">
        <w:rPr>
          <w:sz w:val="24"/>
        </w:rPr>
        <w:t>пятом</w:t>
      </w:r>
      <w:r w:rsidRPr="0067783A">
        <w:rPr>
          <w:sz w:val="24"/>
        </w:rPr>
        <w:t xml:space="preserve"> этапе </w:t>
      </w:r>
      <w:r w:rsidR="00E66931">
        <w:rPr>
          <w:sz w:val="24"/>
        </w:rPr>
        <w:t>с</w:t>
      </w:r>
      <w:r w:rsidR="00E66931" w:rsidRPr="000B5CD8">
        <w:rPr>
          <w:sz w:val="24"/>
        </w:rPr>
        <w:t xml:space="preserve">оздан и </w:t>
      </w:r>
      <w:r w:rsidR="00E66931" w:rsidRPr="00CB21E3">
        <w:rPr>
          <w:rFonts w:eastAsiaTheme="minorEastAsia"/>
          <w:sz w:val="24"/>
          <w:szCs w:val="24"/>
        </w:rPr>
        <w:t xml:space="preserve">верифицирован прикладной программный комплекс (ППК) для моделирования условий движения спускаемых гиперзвуковых летательных аппаратов (ГЛА) в атмосфере, учитывающих изменение формы поверхности ГЛА вследствие разрушения теплозащитного покрытия. </w:t>
      </w:r>
      <w:r w:rsidR="00E66931">
        <w:rPr>
          <w:rFonts w:eastAsiaTheme="minorEastAsia"/>
          <w:sz w:val="24"/>
          <w:szCs w:val="24"/>
        </w:rPr>
        <w:t>На программный комплекс разработан комплект программной документации представленный. Для внедрения полученного комплекса р</w:t>
      </w:r>
      <w:r w:rsidR="00E66931" w:rsidRPr="00CB21E3">
        <w:rPr>
          <w:rFonts w:eastAsiaTheme="minorEastAsia"/>
          <w:sz w:val="24"/>
          <w:szCs w:val="24"/>
        </w:rPr>
        <w:t xml:space="preserve">азработана проект технического задания на выполнение </w:t>
      </w:r>
      <w:proofErr w:type="gramStart"/>
      <w:r w:rsidR="00E66931" w:rsidRPr="00CB21E3">
        <w:rPr>
          <w:rFonts w:eastAsiaTheme="minorEastAsia"/>
          <w:sz w:val="24"/>
          <w:szCs w:val="24"/>
        </w:rPr>
        <w:t>ОКР</w:t>
      </w:r>
      <w:proofErr w:type="gramEnd"/>
      <w:r w:rsidR="00E66931" w:rsidRPr="00CB21E3">
        <w:rPr>
          <w:rFonts w:eastAsiaTheme="minorEastAsia"/>
          <w:sz w:val="24"/>
          <w:szCs w:val="24"/>
        </w:rPr>
        <w:t xml:space="preserve"> по разработке экспериментального образца аппаратно-программного комплекса для моделирования и отработки оптимальных параметров конструкции и режимов движения ГЛА в атмосфере.</w:t>
      </w:r>
      <w:r w:rsidR="00E66931">
        <w:rPr>
          <w:rFonts w:eastAsiaTheme="minorEastAsia"/>
          <w:sz w:val="24"/>
          <w:szCs w:val="24"/>
        </w:rPr>
        <w:t xml:space="preserve"> Для индустриального партнера разработаны методические рекомендации по дальнейшему использованию результатов ПНИЭР. Также проведено </w:t>
      </w:r>
      <w:proofErr w:type="gramStart"/>
      <w:r w:rsidR="00E66931">
        <w:rPr>
          <w:rFonts w:eastAsiaTheme="minorEastAsia"/>
          <w:sz w:val="24"/>
          <w:szCs w:val="24"/>
        </w:rPr>
        <w:t>технико- экономическая</w:t>
      </w:r>
      <w:proofErr w:type="gramEnd"/>
      <w:r w:rsidR="00E66931">
        <w:rPr>
          <w:rFonts w:eastAsiaTheme="minorEastAsia"/>
          <w:sz w:val="24"/>
          <w:szCs w:val="24"/>
        </w:rPr>
        <w:t xml:space="preserve"> оценка, обобщение и проверка соответствия результатов ПНИЭР требованиям технического задания на проект.</w:t>
      </w:r>
    </w:p>
    <w:p w:rsidR="00E66931" w:rsidRDefault="00E66931" w:rsidP="00E66931">
      <w:pPr>
        <w:pStyle w:val="a3"/>
        <w:spacing w:after="120" w:line="360" w:lineRule="auto"/>
        <w:ind w:firstLine="709"/>
        <w:rPr>
          <w:sz w:val="24"/>
        </w:rPr>
      </w:pPr>
      <w:r w:rsidRPr="00CB21E3">
        <w:rPr>
          <w:sz w:val="24"/>
        </w:rPr>
        <w:t xml:space="preserve">Созданный программный комплекс </w:t>
      </w:r>
      <w:r>
        <w:rPr>
          <w:sz w:val="24"/>
        </w:rPr>
        <w:t xml:space="preserve">рекомендуется использовать для проведения комплексного моделирования </w:t>
      </w:r>
      <w:r w:rsidRPr="008F7E29">
        <w:rPr>
          <w:sz w:val="24"/>
        </w:rPr>
        <w:t xml:space="preserve">условий движения спускаемых гиперзвуковых летательных аппаратов в атмосфере. Для эффективного внедрения на отечественных предприятиях предлагается провести </w:t>
      </w:r>
      <w:proofErr w:type="gramStart"/>
      <w:r w:rsidRPr="00CB21E3">
        <w:rPr>
          <w:rFonts w:eastAsiaTheme="minorEastAsia"/>
          <w:sz w:val="24"/>
          <w:szCs w:val="24"/>
        </w:rPr>
        <w:t>ОКР</w:t>
      </w:r>
      <w:proofErr w:type="gramEnd"/>
      <w:r w:rsidRPr="00CB21E3">
        <w:rPr>
          <w:rFonts w:eastAsiaTheme="minorEastAsia"/>
          <w:sz w:val="24"/>
          <w:szCs w:val="24"/>
        </w:rPr>
        <w:t xml:space="preserve"> по разработке экспериментального образца аппаратно-программного </w:t>
      </w:r>
      <w:r w:rsidRPr="008F7E29">
        <w:rPr>
          <w:sz w:val="24"/>
        </w:rPr>
        <w:t xml:space="preserve">комплекса для моделирования и отработки оптимальных параметров конструкции и режимов движения ГЛА в атмосфере. </w:t>
      </w:r>
      <w:r>
        <w:rPr>
          <w:sz w:val="24"/>
        </w:rPr>
        <w:t>Внедрение разработанного комплекса позволит обеспечить:</w:t>
      </w:r>
    </w:p>
    <w:p w:rsidR="00E66931" w:rsidRPr="009D5A9E" w:rsidRDefault="00E66931" w:rsidP="00E66931">
      <w:pPr>
        <w:pStyle w:val="a3"/>
        <w:spacing w:after="120" w:line="360" w:lineRule="auto"/>
        <w:ind w:firstLine="709"/>
        <w:rPr>
          <w:sz w:val="24"/>
        </w:rPr>
      </w:pPr>
      <w:r w:rsidRPr="009D5A9E">
        <w:rPr>
          <w:sz w:val="24"/>
        </w:rPr>
        <w:t xml:space="preserve">1) Сокращение времени получения надежных результатов расчетов инженером-конструктором и, следовательно, повышение его производительности труда. </w:t>
      </w:r>
    </w:p>
    <w:p w:rsidR="00E66931" w:rsidRPr="009D5A9E" w:rsidRDefault="00E66931" w:rsidP="00E66931">
      <w:pPr>
        <w:pStyle w:val="a3"/>
        <w:spacing w:after="120" w:line="360" w:lineRule="auto"/>
        <w:ind w:firstLine="709"/>
        <w:rPr>
          <w:sz w:val="24"/>
        </w:rPr>
      </w:pPr>
      <w:r w:rsidRPr="009D5A9E">
        <w:rPr>
          <w:sz w:val="24"/>
        </w:rPr>
        <w:lastRenderedPageBreak/>
        <w:t>2) Более низкие финансовые вложения в организацию рабочего места по сравнению с западными аналогами (стоимость ППК, обучения персонала и поддержки).</w:t>
      </w:r>
    </w:p>
    <w:p w:rsidR="00E66931" w:rsidRPr="009D5A9E" w:rsidRDefault="00E66931" w:rsidP="00E66931">
      <w:pPr>
        <w:pStyle w:val="a3"/>
        <w:spacing w:after="120" w:line="360" w:lineRule="auto"/>
        <w:ind w:firstLine="709"/>
        <w:rPr>
          <w:sz w:val="24"/>
        </w:rPr>
      </w:pPr>
      <w:r w:rsidRPr="009D5A9E">
        <w:rPr>
          <w:sz w:val="24"/>
        </w:rPr>
        <w:t xml:space="preserve">3) Передачу накопленного методического опыта по созданию и отработке новой техники из российских отраслевых институтов, таких, как ЦАГИ, ЦНИИ им. Крылова, </w:t>
      </w:r>
      <w:proofErr w:type="spellStart"/>
      <w:r w:rsidRPr="009D5A9E">
        <w:rPr>
          <w:sz w:val="24"/>
        </w:rPr>
        <w:t>ЦНИИМаш</w:t>
      </w:r>
      <w:proofErr w:type="spellEnd"/>
      <w:r w:rsidRPr="009D5A9E">
        <w:rPr>
          <w:sz w:val="24"/>
        </w:rPr>
        <w:t>, ВТИ в промышленность.</w:t>
      </w:r>
    </w:p>
    <w:p w:rsidR="00E66931" w:rsidRPr="009D5A9E" w:rsidRDefault="00E66931" w:rsidP="00E66931">
      <w:pPr>
        <w:pStyle w:val="a3"/>
        <w:spacing w:after="120" w:line="360" w:lineRule="auto"/>
        <w:ind w:firstLine="709"/>
        <w:rPr>
          <w:sz w:val="24"/>
        </w:rPr>
      </w:pPr>
      <w:r w:rsidRPr="009D5A9E">
        <w:rPr>
          <w:sz w:val="24"/>
        </w:rPr>
        <w:t xml:space="preserve">4) Исключение политического </w:t>
      </w:r>
      <w:proofErr w:type="gramStart"/>
      <w:r w:rsidRPr="009D5A9E">
        <w:rPr>
          <w:sz w:val="24"/>
        </w:rPr>
        <w:t>фактора блокирования использования  программного продукта иностранного производства</w:t>
      </w:r>
      <w:proofErr w:type="gramEnd"/>
      <w:r w:rsidRPr="009D5A9E">
        <w:rPr>
          <w:sz w:val="24"/>
        </w:rPr>
        <w:t xml:space="preserve"> на российских предприятиях. </w:t>
      </w:r>
    </w:p>
    <w:p w:rsidR="002825B2" w:rsidRPr="00124389" w:rsidRDefault="002825B2" w:rsidP="00124389">
      <w:pPr>
        <w:pStyle w:val="a3"/>
        <w:spacing w:after="120" w:line="360" w:lineRule="auto"/>
        <w:ind w:firstLine="709"/>
        <w:rPr>
          <w:sz w:val="24"/>
        </w:rPr>
      </w:pPr>
      <w:bookmarkStart w:id="0" w:name="_GoBack"/>
      <w:bookmarkEnd w:id="0"/>
      <w:r w:rsidRPr="00124389">
        <w:rPr>
          <w:sz w:val="24"/>
        </w:rPr>
        <w:t xml:space="preserve">Данные работы выполняются при финансовой поддержке </w:t>
      </w:r>
      <w:proofErr w:type="spellStart"/>
      <w:r w:rsidRPr="00124389">
        <w:rPr>
          <w:sz w:val="24"/>
        </w:rPr>
        <w:t>Минобрнауки</w:t>
      </w:r>
      <w:proofErr w:type="spellEnd"/>
      <w:r w:rsidRPr="00124389">
        <w:rPr>
          <w:sz w:val="24"/>
        </w:rPr>
        <w:t xml:space="preserve"> России в рамках ФЦП "Исследования и разработки по приоритетным направлениям развития научно-технологического комплекса России на 2014-2020 годы" по соглашению № 14.604.21.0090 от 8 июля 2014 г. идентификатор проекта: RFMEFI60414X0090.</w:t>
      </w:r>
    </w:p>
    <w:p w:rsidR="00681E24" w:rsidRPr="00124389" w:rsidRDefault="00681E24" w:rsidP="00124389">
      <w:pPr>
        <w:pStyle w:val="a3"/>
        <w:spacing w:after="120" w:line="360" w:lineRule="auto"/>
        <w:ind w:firstLine="709"/>
        <w:rPr>
          <w:sz w:val="24"/>
        </w:rPr>
      </w:pPr>
    </w:p>
    <w:sectPr w:rsidR="00681E24" w:rsidRPr="0012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5F"/>
    <w:rsid w:val="00124389"/>
    <w:rsid w:val="002825B2"/>
    <w:rsid w:val="00681E24"/>
    <w:rsid w:val="00A53E5F"/>
    <w:rsid w:val="00AE204B"/>
    <w:rsid w:val="00D55378"/>
    <w:rsid w:val="00DE3F22"/>
    <w:rsid w:val="00E6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438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243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438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243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iftan1</dc:creator>
  <cp:lastModifiedBy>iftan1</cp:lastModifiedBy>
  <cp:revision>3</cp:revision>
  <dcterms:created xsi:type="dcterms:W3CDTF">2017-03-02T09:21:00Z</dcterms:created>
  <dcterms:modified xsi:type="dcterms:W3CDTF">2017-03-02T09:24:00Z</dcterms:modified>
</cp:coreProperties>
</file>